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74" w:rsidRPr="009F7B74" w:rsidRDefault="009F7B74" w:rsidP="009F7B74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3648">
        <w:rPr>
          <w:rFonts w:ascii="Times New Roman" w:hAnsi="Times New Roman" w:cs="Times New Roman"/>
          <w:sz w:val="24"/>
          <w:szCs w:val="24"/>
        </w:rPr>
        <w:t>5</w:t>
      </w:r>
      <w:r w:rsidRPr="009F7B74">
        <w:rPr>
          <w:rFonts w:ascii="Times New Roman" w:hAnsi="Times New Roman" w:cs="Times New Roman"/>
          <w:sz w:val="24"/>
          <w:szCs w:val="24"/>
        </w:rPr>
        <w:t xml:space="preserve"> к Тарифному соглашению </w:t>
      </w:r>
    </w:p>
    <w:p w:rsidR="009F7B74" w:rsidRPr="009F7B74" w:rsidRDefault="009F7B74" w:rsidP="009F7B74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t>в сфере ОМС на территории УР на 202</w:t>
      </w:r>
      <w:r w:rsidR="00EF40FC">
        <w:rPr>
          <w:rFonts w:ascii="Times New Roman" w:hAnsi="Times New Roman" w:cs="Times New Roman"/>
          <w:sz w:val="24"/>
          <w:szCs w:val="24"/>
        </w:rPr>
        <w:t>5</w:t>
      </w:r>
      <w:r w:rsidRPr="009F7B7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F7B74" w:rsidRPr="009F7B74" w:rsidRDefault="009F7B74" w:rsidP="005F6F36">
      <w:pPr>
        <w:spacing w:after="0"/>
        <w:ind w:right="-283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color w:val="000000"/>
          <w:sz w:val="24"/>
          <w:szCs w:val="24"/>
        </w:rPr>
        <w:t xml:space="preserve">   от </w:t>
      </w:r>
      <w:r w:rsidR="00EF40FC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="00F64988">
        <w:rPr>
          <w:rFonts w:ascii="Times New Roman" w:hAnsi="Times New Roman" w:cs="Times New Roman"/>
          <w:color w:val="000000"/>
          <w:sz w:val="24"/>
          <w:szCs w:val="24"/>
        </w:rPr>
        <w:t>.12.202</w:t>
      </w:r>
      <w:r w:rsidR="00EF40F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F7B74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:rsidR="00E4411C" w:rsidRPr="009F7B74" w:rsidRDefault="00E4411C">
      <w:pPr>
        <w:rPr>
          <w:rFonts w:ascii="Times New Roman" w:hAnsi="Times New Roman" w:cs="Times New Roman"/>
          <w:sz w:val="24"/>
          <w:szCs w:val="24"/>
        </w:rPr>
      </w:pPr>
    </w:p>
    <w:p w:rsidR="009F7B74" w:rsidRPr="000F4277" w:rsidRDefault="009F7B74" w:rsidP="009F7B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4277">
        <w:rPr>
          <w:rFonts w:ascii="Times New Roman" w:hAnsi="Times New Roman" w:cs="Times New Roman"/>
          <w:sz w:val="28"/>
          <w:szCs w:val="28"/>
        </w:rPr>
        <w:t>П</w:t>
      </w:r>
      <w:r w:rsidR="0010249C" w:rsidRPr="000F4277">
        <w:rPr>
          <w:rFonts w:ascii="Times New Roman" w:hAnsi="Times New Roman" w:cs="Times New Roman"/>
          <w:sz w:val="28"/>
          <w:szCs w:val="28"/>
        </w:rPr>
        <w:t>еречень показателей результативности деятельности медицинских организаций, имеющих прикрепившихся лиц, и критерии их оценки</w:t>
      </w:r>
      <w:r w:rsidR="00AB50BA" w:rsidRPr="000F4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B74" w:rsidRPr="00846347" w:rsidRDefault="009F7B74" w:rsidP="009F7B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7B74" w:rsidRPr="00846347" w:rsidRDefault="00EF40FC" w:rsidP="009F7B7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вводится с 01 января </w:t>
      </w:r>
      <w:r w:rsidR="009F7B74" w:rsidRPr="00846347">
        <w:rPr>
          <w:rFonts w:ascii="Times New Roman" w:hAnsi="Times New Roman" w:cs="Times New Roman"/>
          <w:b w:val="0"/>
          <w:sz w:val="24"/>
          <w:szCs w:val="24"/>
        </w:rPr>
        <w:t>202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9F7B74" w:rsidRPr="00846347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/>
      </w:tblPr>
      <w:tblGrid>
        <w:gridCol w:w="557"/>
        <w:gridCol w:w="3828"/>
        <w:gridCol w:w="2552"/>
        <w:gridCol w:w="2267"/>
        <w:gridCol w:w="850"/>
      </w:tblGrid>
      <w:tr w:rsidR="005F6F36" w:rsidRPr="00492AEB" w:rsidTr="002B0C5F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5F6F36" w:rsidRPr="00492AEB" w:rsidTr="002B0C5F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5F6F36" w:rsidRPr="00492AEB" w:rsidTr="002B0C5F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5F6F36" w:rsidRPr="00492AEB" w:rsidTr="002B0C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Максимально возможное значение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F6F36" w:rsidRPr="00492AEB" w:rsidTr="002B0C5F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</w:t>
            </w:r>
            <w:r w:rsidR="002B0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Выполнение плана вакцинации взрослых граждан против новой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(COVID-19) 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эпидемиологическим показаниям за период).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F6F36" w:rsidRPr="00492AEB" w:rsidTr="002B0C5F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48" w:rsidRDefault="00A03648" w:rsidP="00A03648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A03648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5F6F36" w:rsidRPr="00492AEB" w:rsidTr="00442971">
        <w:trPr>
          <w:trHeight w:val="9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F6F36" w:rsidRPr="00492AEB" w:rsidTr="002B0C5F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помощь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</w:t>
            </w:r>
            <w:r w:rsidR="00442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экстренной 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неотложной форме, от общего числа взрослых пациентов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F6F36" w:rsidRPr="00492AEB" w:rsidTr="002B0C5F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442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F6F36" w:rsidRPr="00492AEB" w:rsidTr="002B0C5F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5F6F36" w:rsidRPr="00492AEB" w:rsidTr="002B0C5F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5F6F36" w:rsidRPr="00492AEB" w:rsidTr="002B0C5F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F6F36" w:rsidRPr="00492AEB" w:rsidTr="002B0C5F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5F6F36" w:rsidRPr="00492AEB" w:rsidTr="002B0C5F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Оценка эффективности профилактических мероприятий</w:t>
            </w:r>
          </w:p>
        </w:tc>
      </w:tr>
      <w:tr w:rsidR="005F6F36" w:rsidRPr="00492AEB" w:rsidTr="002B0C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442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442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</w:p>
          <w:p w:rsidR="005F6F36" w:rsidRPr="00492AEB" w:rsidRDefault="005F6F36" w:rsidP="002B0C5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F6F36" w:rsidRPr="00492AEB" w:rsidTr="002B0C5F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36" w:rsidRPr="00492AEB" w:rsidRDefault="005F6F36" w:rsidP="002B0C5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36" w:rsidRPr="00492AEB" w:rsidRDefault="005F6F36" w:rsidP="002B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случае, если значение, указанное в знаменателе соответствующих формул, приведенных в Приложении </w:t>
      </w:r>
      <w:r w:rsidR="0044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25.2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</w:t>
      </w:r>
      <w:r w:rsidR="0044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25.2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 сумму значений, указанных в знаменателе соответствующих формул, приведенных в Приложении </w:t>
      </w:r>
      <w:r w:rsidR="0044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25.2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алгоритмом, описанным Приложением </w:t>
      </w:r>
      <w:r w:rsidR="0044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25.2</w:t>
      </w:r>
      <w:r w:rsidRPr="0049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5F6F36" w:rsidRPr="00492AEB" w:rsidRDefault="005F6F36" w:rsidP="005F6F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"/>
        <w:tblW w:w="10060" w:type="dxa"/>
        <w:tblInd w:w="-431" w:type="dxa"/>
        <w:tblLayout w:type="fixed"/>
        <w:tblLook w:val="04A0"/>
      </w:tblPr>
      <w:tblGrid>
        <w:gridCol w:w="2972"/>
        <w:gridCol w:w="2845"/>
        <w:gridCol w:w="4243"/>
      </w:tblGrid>
      <w:tr w:rsidR="005F6F36" w:rsidRPr="00492AEB" w:rsidTr="002B0C5F">
        <w:trPr>
          <w:tblHeader/>
        </w:trPr>
        <w:tc>
          <w:tcPr>
            <w:tcW w:w="2972" w:type="dxa"/>
            <w:vAlign w:val="center"/>
          </w:tcPr>
          <w:p w:rsidR="005F6F36" w:rsidRPr="00492AEB" w:rsidRDefault="005F6F36" w:rsidP="002B0C5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5F6F36" w:rsidRPr="00492AEB" w:rsidRDefault="005F6F36" w:rsidP="002B0C5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5F6F36" w:rsidRPr="00492AEB" w:rsidRDefault="005F6F36" w:rsidP="002B0C5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F6F36" w:rsidRPr="00492AEB" w:rsidRDefault="005F6F36" w:rsidP="002B0C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5F6F36" w:rsidRPr="00492AEB" w:rsidRDefault="005F6F36" w:rsidP="002B0C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5F6F36" w:rsidRPr="00492AEB" w:rsidTr="002B0C5F">
        <w:tc>
          <w:tcPr>
            <w:tcW w:w="2972" w:type="dxa"/>
          </w:tcPr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20-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25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492AEB">
              <w:rPr>
                <w:color w:val="000000" w:themeColor="text1"/>
                <w:sz w:val="24"/>
                <w:szCs w:val="24"/>
              </w:rPr>
              <w:br/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10-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12-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13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60-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492AEB">
              <w:rPr>
                <w:color w:val="000000" w:themeColor="text1"/>
                <w:sz w:val="24"/>
                <w:szCs w:val="24"/>
              </w:rPr>
              <w:br/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492AEB">
              <w:rPr>
                <w:color w:val="000000" w:themeColor="text1"/>
                <w:sz w:val="24"/>
                <w:szCs w:val="24"/>
              </w:rPr>
              <w:t>10-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492AEB">
              <w:rPr>
                <w:color w:val="000000" w:themeColor="text1"/>
                <w:sz w:val="24"/>
                <w:szCs w:val="24"/>
              </w:rPr>
              <w:t>11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492AEB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492AEB">
              <w:rPr>
                <w:color w:val="000000" w:themeColor="text1"/>
                <w:sz w:val="24"/>
                <w:szCs w:val="24"/>
              </w:rPr>
              <w:t>44.0-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492AEB">
              <w:rPr>
                <w:color w:val="000000" w:themeColor="text1"/>
                <w:sz w:val="24"/>
                <w:szCs w:val="24"/>
              </w:rPr>
              <w:t>44.9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492AEB">
              <w:rPr>
                <w:color w:val="000000" w:themeColor="text1"/>
                <w:sz w:val="24"/>
                <w:szCs w:val="24"/>
              </w:rPr>
              <w:t>18.1-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492AEB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50.0-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50.9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48-49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44-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45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492AEB">
              <w:rPr>
                <w:color w:val="000000" w:themeColor="text1"/>
                <w:sz w:val="24"/>
                <w:szCs w:val="24"/>
              </w:rPr>
              <w:t>27.9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492AEB">
              <w:rPr>
                <w:color w:val="000000" w:themeColor="text1"/>
                <w:sz w:val="24"/>
                <w:szCs w:val="24"/>
              </w:rPr>
              <w:t>18.2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492AEB">
              <w:rPr>
                <w:color w:val="000000" w:themeColor="text1"/>
                <w:sz w:val="24"/>
                <w:szCs w:val="24"/>
              </w:rPr>
              <w:t>18.9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492AEB">
              <w:rPr>
                <w:color w:val="000000" w:themeColor="text1"/>
                <w:sz w:val="24"/>
                <w:szCs w:val="24"/>
              </w:rPr>
              <w:t>19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492AEB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492AEB">
              <w:rPr>
                <w:color w:val="000000" w:themeColor="text1"/>
                <w:sz w:val="24"/>
                <w:szCs w:val="24"/>
              </w:rPr>
              <w:t>98.4</w:t>
            </w:r>
          </w:p>
          <w:p w:rsidR="005F6F36" w:rsidRPr="00492AEB" w:rsidRDefault="005F6F36" w:rsidP="002B0C5F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492AEB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492AEB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492AEB">
              <w:rPr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392986" w:rsidRDefault="00392986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B77EE2" w:rsidRPr="009F7B74" w:rsidRDefault="00B77EE2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3648">
        <w:rPr>
          <w:rFonts w:ascii="Times New Roman" w:hAnsi="Times New Roman" w:cs="Times New Roman"/>
          <w:sz w:val="24"/>
          <w:szCs w:val="24"/>
        </w:rPr>
        <w:t>5</w:t>
      </w:r>
      <w:r w:rsidR="00AB50BA">
        <w:rPr>
          <w:rFonts w:ascii="Times New Roman" w:hAnsi="Times New Roman" w:cs="Times New Roman"/>
          <w:sz w:val="24"/>
          <w:szCs w:val="24"/>
        </w:rPr>
        <w:t>.1</w:t>
      </w:r>
      <w:r w:rsidRPr="009F7B74">
        <w:rPr>
          <w:rFonts w:ascii="Times New Roman" w:hAnsi="Times New Roman" w:cs="Times New Roman"/>
          <w:sz w:val="24"/>
          <w:szCs w:val="24"/>
        </w:rPr>
        <w:t xml:space="preserve"> к Тарифному соглашению </w:t>
      </w:r>
    </w:p>
    <w:p w:rsidR="00B77EE2" w:rsidRPr="009F7B74" w:rsidRDefault="00B77EE2" w:rsidP="00B77EE2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t>в сфере ОМС на территории УР на 202</w:t>
      </w:r>
      <w:r w:rsidR="00F64988">
        <w:rPr>
          <w:rFonts w:ascii="Times New Roman" w:hAnsi="Times New Roman" w:cs="Times New Roman"/>
          <w:sz w:val="24"/>
          <w:szCs w:val="24"/>
        </w:rPr>
        <w:t>4</w:t>
      </w:r>
      <w:r w:rsidRPr="009F7B7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03696" w:rsidRDefault="00703696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77EE2" w:rsidRDefault="00B77EE2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77EE2" w:rsidRPr="00AB50BA" w:rsidRDefault="00B77EE2" w:rsidP="00AB5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0BA">
        <w:rPr>
          <w:rFonts w:ascii="Times New Roman" w:hAnsi="Times New Roman" w:cs="Times New Roman"/>
          <w:b/>
          <w:sz w:val="28"/>
          <w:szCs w:val="28"/>
        </w:rPr>
        <w:t>Перечень медицинских организаций, оказывающих первичную медико-санитарную</w:t>
      </w:r>
      <w:r w:rsidR="00AB50BA" w:rsidRPr="00AB50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50BA">
        <w:rPr>
          <w:rFonts w:ascii="Times New Roman" w:hAnsi="Times New Roman" w:cs="Times New Roman"/>
          <w:b/>
          <w:sz w:val="28"/>
          <w:szCs w:val="28"/>
        </w:rPr>
        <w:t>помощь, по разным категориям населения в разрезе блоков</w:t>
      </w:r>
    </w:p>
    <w:p w:rsidR="00B77EE2" w:rsidRDefault="00B77EE2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7" w:type="dxa"/>
        <w:tblLook w:val="04A0"/>
      </w:tblPr>
      <w:tblGrid>
        <w:gridCol w:w="4825"/>
        <w:gridCol w:w="1746"/>
        <w:gridCol w:w="1517"/>
        <w:gridCol w:w="2049"/>
      </w:tblGrid>
      <w:tr w:rsidR="00CE1BC9" w:rsidRPr="00CE1BC9" w:rsidTr="008651AB">
        <w:tc>
          <w:tcPr>
            <w:tcW w:w="4825" w:type="dxa"/>
            <w:vAlign w:val="center"/>
          </w:tcPr>
          <w:p w:rsidR="00B77EE2" w:rsidRPr="00CE1BC9" w:rsidRDefault="00B77EE2" w:rsidP="000F427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746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1 блок (взрослое население)</w:t>
            </w:r>
          </w:p>
        </w:tc>
        <w:tc>
          <w:tcPr>
            <w:tcW w:w="1517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2 блок (детское население)</w:t>
            </w:r>
          </w:p>
        </w:tc>
        <w:tc>
          <w:tcPr>
            <w:tcW w:w="2049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3 блок </w:t>
            </w:r>
          </w:p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(акушерско-гинекологическая помощь)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"КДЦ МЗ УР"</w:t>
            </w: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"ГКБ №1 МЗ УР"</w:t>
            </w: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«ГКБ № 2 МЗ УР»</w:t>
            </w:r>
          </w:p>
          <w:p w:rsidR="00EB5E87" w:rsidRPr="00CE1BC9" w:rsidRDefault="00EB5E87" w:rsidP="00FC6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«ГКБ № 3 МЗ УР»</w:t>
            </w:r>
          </w:p>
          <w:p w:rsidR="00EB5E87" w:rsidRPr="00CE1BC9" w:rsidRDefault="00EB5E87" w:rsidP="00FC6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БУЗ УР "ГКБ №4 МЗ УР" </w:t>
            </w: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B77EE2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"ГКБ №6 МЗ УР"</w:t>
            </w: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B77EE2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"ГКБ №7 МЗ УР"</w:t>
            </w:r>
          </w:p>
        </w:tc>
        <w:tc>
          <w:tcPr>
            <w:tcW w:w="1746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B77EE2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"ГКБ №8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"ГКБ № 9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№1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№2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№5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№6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№7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"ГП №10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"ДГП №1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"ДГКП №2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"ДГКП №5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"ДГП №6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"ДГКП №8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"ДГП №9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БУЗ УР "Воткинская ГБ № 1 МЗ УР" 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БУЗ УР "Воткинская РБ МЗ УР" 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"Воткинская ГДБ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БУЗ УР "Глазовская МБ МЗ УР" 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FC6E5E" w:rsidP="00FC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"Сарапульская ГБ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FC6E5E" w:rsidRPr="00CE1BC9" w:rsidRDefault="00252E6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52E6E" w:rsidRPr="00CE1BC9" w:rsidRDefault="00252E6E" w:rsidP="00252E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FC6E5E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"Сарапульская ГДБ МЗ УР"</w:t>
            </w:r>
          </w:p>
        </w:tc>
        <w:tc>
          <w:tcPr>
            <w:tcW w:w="1746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C6E5E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FC6E5E" w:rsidRPr="00CE1BC9" w:rsidRDefault="00FC6E5E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</w:t>
            </w:r>
            <w:proofErr w:type="spellStart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Можгинская</w:t>
            </w:r>
            <w:proofErr w:type="spellEnd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"Алнашская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"Балезинская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"Вавожская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"Граховская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</w:t>
            </w:r>
            <w:proofErr w:type="spellStart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Дебёсская</w:t>
            </w:r>
            <w:proofErr w:type="spellEnd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"Завьяловская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"Игринская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"Камбарская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"Каракулинская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"Кезская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"Кизнерская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"Киясовская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"Красногорская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"Малопургинская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"Сарапульская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"Селтинская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</w:t>
            </w:r>
            <w:proofErr w:type="spellStart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Сюмсинская</w:t>
            </w:r>
            <w:proofErr w:type="spellEnd"/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 РБ МЗ УР"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160697" w:rsidP="0016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БУЗ УР "Увинская РБ МЗ УР" </w:t>
            </w:r>
          </w:p>
        </w:tc>
        <w:tc>
          <w:tcPr>
            <w:tcW w:w="1746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160697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160697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"Шарканская РБ МЗ УР"</w:t>
            </w:r>
          </w:p>
        </w:tc>
        <w:tc>
          <w:tcPr>
            <w:tcW w:w="1746" w:type="dxa"/>
          </w:tcPr>
          <w:p w:rsidR="00160697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160697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160697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A00596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"Юкаменская РБ МЗ УР"</w:t>
            </w:r>
          </w:p>
        </w:tc>
        <w:tc>
          <w:tcPr>
            <w:tcW w:w="1746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A00596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"Якшур-Бодьинская РБ МЗ УР"</w:t>
            </w:r>
          </w:p>
        </w:tc>
        <w:tc>
          <w:tcPr>
            <w:tcW w:w="1746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A00596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БУЗ УР "Ярская РБ МЗ УР"</w:t>
            </w:r>
          </w:p>
        </w:tc>
        <w:tc>
          <w:tcPr>
            <w:tcW w:w="1746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49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A00596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 xml:space="preserve">ЧУЗ "РЖД-Медицина г.Ижевск" </w:t>
            </w:r>
          </w:p>
        </w:tc>
        <w:tc>
          <w:tcPr>
            <w:tcW w:w="1746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E1BC9" w:rsidRPr="00CE1BC9" w:rsidTr="008651AB">
        <w:tc>
          <w:tcPr>
            <w:tcW w:w="4825" w:type="dxa"/>
          </w:tcPr>
          <w:p w:rsidR="00A00596" w:rsidRPr="00CE1BC9" w:rsidRDefault="00A00596" w:rsidP="00A0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ФБУЗ МСЧ № 41 ФМБА России</w:t>
            </w:r>
          </w:p>
        </w:tc>
        <w:tc>
          <w:tcPr>
            <w:tcW w:w="1746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7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00596" w:rsidRPr="00CE1BC9" w:rsidRDefault="00A00596" w:rsidP="00B77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AB50BA" w:rsidRDefault="00AB50BA" w:rsidP="003335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50BA" w:rsidRDefault="00AB50BA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651AB" w:rsidRDefault="008651AB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651AB" w:rsidRDefault="008651AB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B50BA" w:rsidRDefault="00AB50BA" w:rsidP="00B77E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B50BA" w:rsidRPr="009F7B74" w:rsidRDefault="00AB50BA" w:rsidP="00AB50BA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36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</w:t>
      </w:r>
      <w:r w:rsidRPr="009F7B74">
        <w:rPr>
          <w:rFonts w:ascii="Times New Roman" w:hAnsi="Times New Roman" w:cs="Times New Roman"/>
          <w:sz w:val="24"/>
          <w:szCs w:val="24"/>
        </w:rPr>
        <w:t xml:space="preserve"> к Тарифному соглашению </w:t>
      </w:r>
    </w:p>
    <w:p w:rsidR="00AB50BA" w:rsidRPr="009F7B74" w:rsidRDefault="00AB50BA" w:rsidP="00AB50BA">
      <w:pPr>
        <w:spacing w:after="0" w:line="240" w:lineRule="exact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9F7B74">
        <w:rPr>
          <w:rFonts w:ascii="Times New Roman" w:hAnsi="Times New Roman" w:cs="Times New Roman"/>
          <w:sz w:val="24"/>
          <w:szCs w:val="24"/>
        </w:rPr>
        <w:t>в сфере ОМС на территории УР на 202</w:t>
      </w:r>
      <w:r w:rsidR="00F64988">
        <w:rPr>
          <w:rFonts w:ascii="Times New Roman" w:hAnsi="Times New Roman" w:cs="Times New Roman"/>
          <w:sz w:val="24"/>
          <w:szCs w:val="24"/>
        </w:rPr>
        <w:t>4</w:t>
      </w:r>
      <w:r w:rsidRPr="009F7B7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B50BA" w:rsidRDefault="00AB50BA" w:rsidP="00AB50BA">
      <w:pPr>
        <w:pStyle w:val="ConsPlusNormal"/>
        <w:jc w:val="both"/>
      </w:pPr>
    </w:p>
    <w:p w:rsidR="0010249C" w:rsidRPr="0010249C" w:rsidRDefault="0010249C" w:rsidP="00AB50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477"/>
      <w:bookmarkEnd w:id="1"/>
      <w:r w:rsidRPr="0010249C">
        <w:rPr>
          <w:rFonts w:ascii="Times New Roman" w:hAnsi="Times New Roman" w:cs="Times New Roman"/>
          <w:sz w:val="28"/>
          <w:szCs w:val="28"/>
        </w:rPr>
        <w:t>Порядок расчета значений показателей результативности деятельности медицинских организаций</w:t>
      </w:r>
    </w:p>
    <w:p w:rsidR="00AB50BA" w:rsidRPr="0010249C" w:rsidRDefault="00AB50BA" w:rsidP="00AB50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50BA" w:rsidRDefault="00AB50BA" w:rsidP="00AB50BA">
      <w:pPr>
        <w:sectPr w:rsidR="00AB50B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5F6F36" w:rsidRPr="00492AEB" w:rsidTr="002B0C5F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Источник</w:t>
            </w:r>
          </w:p>
        </w:tc>
      </w:tr>
      <w:tr w:rsidR="005F6F36" w:rsidRPr="00492AEB" w:rsidTr="002B0C5F">
        <w:trPr>
          <w:trHeight w:val="83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5F6F36" w:rsidRPr="00492AEB" w:rsidTr="002B0C5F">
        <w:trPr>
          <w:trHeight w:val="84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5F6F36" w:rsidRPr="00492AEB" w:rsidRDefault="005F6F36" w:rsidP="002B0C5F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vs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обращений за отчетный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коэффициент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</w:t>
            </w:r>
            <w:r w:rsidR="005C37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едицинских осмотрах и диспансеризации за период, от общего числа взрослых пациентов с болезнями системы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кровообращения с впервые в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пациентов с болезнями системы кровообращения с впервые в жизни установленным диагнозом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зно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характер основного заболевания.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</w:p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-дата рождения.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Vv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Fv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 в отчетном периоде;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Pv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граждан, подлежащих. вакцинации по эпидемиологическим показаниям за период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rPr>
          <w:trHeight w:val="725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риск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кровообращения*, имеющих высокий риск преждевременной смерти, состоящих под диспансерным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смерти, обратившихся за медицинской помо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помощи при подозрении на ЗНО»: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наблюдение.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5C37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экстренной 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Sриск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Vриск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поводу болезней системы кровообращения*, приводящих к высокому риску преждевременной смертности;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Dриск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условия оказания медицинской помощи;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5F6F36" w:rsidRPr="00492AEB" w:rsidRDefault="005F6F36" w:rsidP="002B0C5F">
            <w:pPr>
              <w:spacing w:after="0"/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Приказ 108н МЗ РФ)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начала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форма оказания медицинской помощи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5C37A6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Osl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rPr>
          <w:trHeight w:val="71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Детское население (от 0 до 17 лет включительно)</w:t>
            </w:r>
          </w:p>
        </w:tc>
      </w:tr>
      <w:tr w:rsidR="005F6F36" w:rsidRPr="00492AEB" w:rsidTr="002B0C5F">
        <w:trPr>
          <w:trHeight w:val="70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E90CD5" w:rsidRDefault="005F6F36" w:rsidP="002B0C5F">
            <w:pPr>
              <w:spacing w:after="0"/>
              <w:jc w:val="center"/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диспансерного наблюдения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492AEB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Ddkms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Cdkms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Cpkms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Ddgl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Cdgl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Cpgl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Dbop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Cdbop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</w:t>
            </w:r>
            <w:r w:rsidRPr="00492AEB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>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отношении которых установлено диспансерное наблюдение по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поводу болезней органов пищеварения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Cpbop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-цель посещения.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Ddbsk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Cdbsk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Cpbsk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Ddbes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расстройства питания и нарушения обмена веществ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Cdbes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Cpbes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5F6F36" w:rsidRPr="00492AEB" w:rsidRDefault="005F6F36" w:rsidP="002B0C5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-характер заболевания;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5F6F36" w:rsidRPr="00492AEB" w:rsidTr="002B0C5F">
        <w:trPr>
          <w:trHeight w:val="69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      Оказание акушерско-гинекологической помощи </w:t>
            </w:r>
          </w:p>
        </w:tc>
      </w:tr>
      <w:tr w:rsidR="005F6F36" w:rsidRPr="00492AEB" w:rsidTr="002B0C5F">
        <w:trPr>
          <w:trHeight w:val="70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492AEB">
              <w:rPr>
                <w:color w:val="000000" w:themeColor="text1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период;</w:t>
            </w:r>
          </w:p>
          <w:p w:rsidR="005F6F36" w:rsidRPr="00492AEB" w:rsidRDefault="005F6F36" w:rsidP="002B0C5F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отк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5F6F36" w:rsidRPr="00492AEB" w:rsidRDefault="005F6F36" w:rsidP="002B0C5F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период, от числа женщин, состоящих на учете по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Vb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инфекции COVID-19, за период, от числа женщин, состоящих на учете по беременности и родам на начало периода;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период;</w:t>
            </w:r>
          </w:p>
          <w:p w:rsidR="005F6F36" w:rsidRPr="00492AEB" w:rsidRDefault="005F6F36" w:rsidP="002B0C5F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носителях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6F36" w:rsidRPr="00492AEB" w:rsidTr="002B0C5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5F6F36" w:rsidRPr="00492AEB" w:rsidRDefault="005F6F36" w:rsidP="002B0C5F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Д4.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характер основного заболевания</w:t>
            </w:r>
          </w:p>
        </w:tc>
      </w:tr>
      <w:tr w:rsidR="005F6F36" w:rsidRPr="00492AEB" w:rsidTr="002B0C5F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 с установленным диагнозом злокачественное новообразование молочной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5F6F36" w:rsidRPr="00492AEB" w:rsidRDefault="005F6F36" w:rsidP="002B0C5F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 осуществляется путем отбора информации по полям реестра формата Д3 «Файл со сведениями об оказанной медицинской помощи при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диспансеризации» предусматривает поле реестра: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характер основного заболевания.</w:t>
            </w:r>
          </w:p>
        </w:tc>
      </w:tr>
      <w:tr w:rsidR="005F6F36" w:rsidRPr="00492AEB" w:rsidTr="002B0C5F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F36" w:rsidRPr="00492AEB" w:rsidRDefault="005F6F36" w:rsidP="002B0C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5F6F36" w:rsidRPr="00492AEB" w:rsidRDefault="005F6F36" w:rsidP="002B0C5F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5F6F36" w:rsidRPr="00492AEB" w:rsidRDefault="005F6F36" w:rsidP="002B0C5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период;</w:t>
            </w:r>
          </w:p>
          <w:p w:rsidR="005F6F36" w:rsidRPr="00492AEB" w:rsidRDefault="005F6F36" w:rsidP="002B0C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F36" w:rsidRPr="00492AEB" w:rsidRDefault="005F6F36" w:rsidP="002B0C5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5F6F36" w:rsidRPr="00492AEB" w:rsidRDefault="005F6F36" w:rsidP="005F6F3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5F6F36" w:rsidRPr="009C2A0D" w:rsidRDefault="005F6F36" w:rsidP="005F6F3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</w:p>
    <w:p w:rsidR="00AB50BA" w:rsidRDefault="00AB50BA" w:rsidP="00AB50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6F36" w:rsidRPr="0010249C" w:rsidRDefault="005F6F36" w:rsidP="00AB50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5F6F36" w:rsidRPr="0010249C" w:rsidSect="00AB50BA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F7B74"/>
    <w:rsid w:val="000F4277"/>
    <w:rsid w:val="0010249C"/>
    <w:rsid w:val="00127084"/>
    <w:rsid w:val="00141701"/>
    <w:rsid w:val="0015458B"/>
    <w:rsid w:val="00160697"/>
    <w:rsid w:val="001B1B54"/>
    <w:rsid w:val="00252E6E"/>
    <w:rsid w:val="0026308E"/>
    <w:rsid w:val="002B0C5F"/>
    <w:rsid w:val="00311F6B"/>
    <w:rsid w:val="003278FF"/>
    <w:rsid w:val="003335C8"/>
    <w:rsid w:val="00392986"/>
    <w:rsid w:val="00397DD6"/>
    <w:rsid w:val="003E1CA0"/>
    <w:rsid w:val="003F1B30"/>
    <w:rsid w:val="00442971"/>
    <w:rsid w:val="004B0652"/>
    <w:rsid w:val="00542207"/>
    <w:rsid w:val="0055705B"/>
    <w:rsid w:val="005861BD"/>
    <w:rsid w:val="00592109"/>
    <w:rsid w:val="005C37A6"/>
    <w:rsid w:val="005F3539"/>
    <w:rsid w:val="005F6F36"/>
    <w:rsid w:val="006560F3"/>
    <w:rsid w:val="00677B90"/>
    <w:rsid w:val="006B5AB8"/>
    <w:rsid w:val="006C196E"/>
    <w:rsid w:val="006D3118"/>
    <w:rsid w:val="006D5693"/>
    <w:rsid w:val="00703696"/>
    <w:rsid w:val="00784427"/>
    <w:rsid w:val="007F1215"/>
    <w:rsid w:val="00803E36"/>
    <w:rsid w:val="00846347"/>
    <w:rsid w:val="00847DEA"/>
    <w:rsid w:val="00862A45"/>
    <w:rsid w:val="008651AB"/>
    <w:rsid w:val="00873220"/>
    <w:rsid w:val="00877684"/>
    <w:rsid w:val="00877EDA"/>
    <w:rsid w:val="008A0B3B"/>
    <w:rsid w:val="008D76F0"/>
    <w:rsid w:val="008D7D47"/>
    <w:rsid w:val="0097696A"/>
    <w:rsid w:val="009A7E3F"/>
    <w:rsid w:val="009F15ED"/>
    <w:rsid w:val="009F7B74"/>
    <w:rsid w:val="00A00596"/>
    <w:rsid w:val="00A03648"/>
    <w:rsid w:val="00A97638"/>
    <w:rsid w:val="00AB50BA"/>
    <w:rsid w:val="00AE39AF"/>
    <w:rsid w:val="00B12195"/>
    <w:rsid w:val="00B43E37"/>
    <w:rsid w:val="00B77EE2"/>
    <w:rsid w:val="00BF5594"/>
    <w:rsid w:val="00C002B6"/>
    <w:rsid w:val="00C10D0C"/>
    <w:rsid w:val="00C17EB1"/>
    <w:rsid w:val="00C65737"/>
    <w:rsid w:val="00CD3A37"/>
    <w:rsid w:val="00CE1BC9"/>
    <w:rsid w:val="00DA6B91"/>
    <w:rsid w:val="00DE04B7"/>
    <w:rsid w:val="00E4411C"/>
    <w:rsid w:val="00E92290"/>
    <w:rsid w:val="00E94E78"/>
    <w:rsid w:val="00E96566"/>
    <w:rsid w:val="00E97954"/>
    <w:rsid w:val="00EB5E87"/>
    <w:rsid w:val="00ED54BA"/>
    <w:rsid w:val="00EF40FC"/>
    <w:rsid w:val="00F64988"/>
    <w:rsid w:val="00FC6E5E"/>
    <w:rsid w:val="00FE4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7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77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0B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47D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47DEA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8">
    <w:name w:val="No Spacing"/>
    <w:uiPriority w:val="1"/>
    <w:qFormat/>
    <w:rsid w:val="00847DEA"/>
    <w:pPr>
      <w:spacing w:after="0" w:line="240" w:lineRule="auto"/>
    </w:pPr>
  </w:style>
  <w:style w:type="table" w:customStyle="1" w:styleId="14">
    <w:name w:val="Сетка таблицы14"/>
    <w:basedOn w:val="a1"/>
    <w:next w:val="a3"/>
    <w:rsid w:val="005F6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7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9283F-ABF2-402E-A97D-FDEC119C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26</Pages>
  <Words>6977</Words>
  <Characters>39772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Малых</dc:creator>
  <cp:lastModifiedBy>Антоньян</cp:lastModifiedBy>
  <cp:revision>6</cp:revision>
  <cp:lastPrinted>2022-03-18T06:05:00Z</cp:lastPrinted>
  <dcterms:created xsi:type="dcterms:W3CDTF">2023-05-22T10:35:00Z</dcterms:created>
  <dcterms:modified xsi:type="dcterms:W3CDTF">2025-01-08T06:30:00Z</dcterms:modified>
</cp:coreProperties>
</file>